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color w:val="2F6FED"/>
          <w:sz w:val="18"/>
        </w:rPr>
        <w:t>GUIDE</w:t>
      </w:r>
    </w:p>
    <w:p>
      <w:pPr>
        <w:pStyle w:val="Title"/>
      </w:pPr>
      <w:r>
        <w:t>Read Me First - How to Use and Customise This Pack</w:t>
      </w:r>
    </w:p>
    <w:p>
      <w:pPr>
        <w:spacing w:after="200"/>
      </w:pPr>
      <w:r>
        <w:rPr>
          <w:color w:val="59595F"/>
          <w:sz w:val="20"/>
        </w:rPr>
        <w:t>GD-01  |  Revision 1.0  |  [LABORATORY NAME]</w:t>
      </w:r>
    </w:p>
    <w:tbl>
      <w:tblPr>
        <w:tblStyle w:val="TableGrid"/>
        <w:tblW w:type="auto" w:w="0"/>
        <w:jc w:val="center"/>
        <w:tblLook w:firstColumn="1" w:firstRow="1" w:lastColumn="0" w:lastRow="0" w:noHBand="0" w:noVBand="1" w:val="04A0"/>
        <w:tblLayout w:type="fixed"/>
        <w:tblCellMar>
          <w:top w:w="60" w:type="dxa"/>
          <w:left w:w="90" w:type="dxa"/>
          <w:bottom w:w="60" w:type="dxa"/>
          <w:right w:w="90" w:type="dxa"/>
        </w:tblCellMar>
      </w:tblPr>
      <w:tblGrid>
        <w:gridCol w:w="4819"/>
        <w:gridCol w:w="4819"/>
      </w:tblGrid>
      <w:tr>
        <w:trPr>
          <w:cantSplit w:val="true"/>
        </w:trPr>
        <w:tc>
          <w:tcPr>
            <w:tcW w:type="dxa" w:w="2835"/>
            <w:shd w:val="clear" w:color="auto" w:fill="DCE6F5"/>
          </w:tcPr>
          <w:p>
            <w:pPr>
              <w:spacing w:after="0"/>
            </w:pPr>
            <w:r>
              <w:rPr>
                <w:b/>
                <w:color w:val="1F3A5F"/>
                <w:sz w:val="19"/>
              </w:rPr>
              <w:t>Document ID</w:t>
            </w:r>
          </w:p>
        </w:tc>
        <w:tc>
          <w:tcPr>
            <w:tcW w:type="dxa" w:w="6803"/>
          </w:tcPr>
          <w:p>
            <w:pPr>
              <w:spacing w:after="0"/>
            </w:pPr>
            <w:r>
              <w:rPr>
                <w:sz w:val="19"/>
              </w:rPr>
              <w:t>GD-01</w:t>
            </w:r>
          </w:p>
        </w:tc>
      </w:tr>
      <w:tr>
        <w:trPr>
          <w:cantSplit w:val="true"/>
        </w:trPr>
        <w:tc>
          <w:tcPr>
            <w:tcW w:type="dxa" w:w="2835"/>
            <w:shd w:val="clear" w:color="auto" w:fill="DCE6F5"/>
          </w:tcPr>
          <w:p>
            <w:pPr>
              <w:spacing w:after="0"/>
            </w:pPr>
            <w:r>
              <w:rPr>
                <w:b/>
                <w:color w:val="1F3A5F"/>
                <w:sz w:val="19"/>
              </w:rPr>
              <w:t>Document type</w:t>
            </w:r>
          </w:p>
        </w:tc>
        <w:tc>
          <w:tcPr>
            <w:tcW w:type="dxa" w:w="6803"/>
          </w:tcPr>
          <w:p>
            <w:pPr>
              <w:spacing w:after="0"/>
            </w:pPr>
            <w:r>
              <w:rPr>
                <w:sz w:val="19"/>
              </w:rPr>
              <w:t>Guide</w:t>
            </w:r>
          </w:p>
        </w:tc>
      </w:tr>
      <w:tr>
        <w:trPr>
          <w:cantSplit w:val="true"/>
        </w:trPr>
        <w:tc>
          <w:tcPr>
            <w:tcW w:type="dxa" w:w="2835"/>
            <w:shd w:val="clear" w:color="auto" w:fill="DCE6F5"/>
          </w:tcPr>
          <w:p>
            <w:pPr>
              <w:spacing w:after="0"/>
            </w:pPr>
            <w:r>
              <w:rPr>
                <w:b/>
                <w:color w:val="1F3A5F"/>
                <w:sz w:val="19"/>
              </w:rPr>
              <w:t>Organisation</w:t>
            </w:r>
          </w:p>
        </w:tc>
        <w:tc>
          <w:tcPr>
            <w:tcW w:type="dxa" w:w="6803"/>
          </w:tcPr>
          <w:p>
            <w:pPr>
              <w:spacing w:after="0"/>
            </w:pPr>
            <w:r>
              <w:rPr>
                <w:sz w:val="19"/>
              </w:rPr>
              <w:t>[LABORATORY NAME]  (replace with the legal name of the laboratory)</w:t>
            </w:r>
          </w:p>
        </w:tc>
      </w:tr>
      <w:tr>
        <w:trPr>
          <w:cantSplit w:val="true"/>
        </w:trPr>
        <w:tc>
          <w:tcPr>
            <w:tcW w:type="dxa" w:w="2835"/>
            <w:shd w:val="clear" w:color="auto" w:fill="DCE6F5"/>
          </w:tcPr>
          <w:p>
            <w:pPr>
              <w:spacing w:after="0"/>
            </w:pPr>
            <w:r>
              <w:rPr>
                <w:b/>
                <w:color w:val="1F3A5F"/>
                <w:sz w:val="19"/>
              </w:rPr>
              <w:t>Revision</w:t>
            </w:r>
          </w:p>
        </w:tc>
        <w:tc>
          <w:tcPr>
            <w:tcW w:type="dxa" w:w="6803"/>
          </w:tcPr>
          <w:p>
            <w:pPr>
              <w:spacing w:after="0"/>
            </w:pPr>
            <w:r>
              <w:rPr>
                <w:sz w:val="19"/>
              </w:rPr>
              <w:t>1.0</w:t>
            </w:r>
          </w:p>
        </w:tc>
      </w:tr>
      <w:tr>
        <w:trPr>
          <w:cantSplit w:val="true"/>
        </w:trPr>
        <w:tc>
          <w:tcPr>
            <w:tcW w:type="dxa" w:w="2835"/>
            <w:shd w:val="clear" w:color="auto" w:fill="DCE6F5"/>
          </w:tcPr>
          <w:p>
            <w:pPr>
              <w:spacing w:after="0"/>
            </w:pPr>
            <w:r>
              <w:rPr>
                <w:b/>
                <w:color w:val="1F3A5F"/>
                <w:sz w:val="19"/>
              </w:rPr>
              <w:t>Status</w:t>
            </w:r>
          </w:p>
        </w:tc>
        <w:tc>
          <w:tcPr>
            <w:tcW w:type="dxa" w:w="6803"/>
          </w:tcPr>
          <w:p>
            <w:pPr>
              <w:spacing w:after="0"/>
            </w:pPr>
            <w:r>
              <w:rPr>
                <w:sz w:val="19"/>
              </w:rPr>
              <w:t>TEMPLATE - customise before use</w:t>
            </w:r>
          </w:p>
        </w:tc>
      </w:tr>
      <w:tr>
        <w:trPr>
          <w:cantSplit w:val="true"/>
        </w:trPr>
        <w:tc>
          <w:tcPr>
            <w:tcW w:type="dxa" w:w="2835"/>
            <w:shd w:val="clear" w:color="auto" w:fill="DCE6F5"/>
          </w:tcPr>
          <w:p>
            <w:pPr>
              <w:spacing w:after="0"/>
            </w:pPr>
            <w:r>
              <w:rPr>
                <w:b/>
                <w:color w:val="1F3A5F"/>
                <w:sz w:val="19"/>
              </w:rPr>
              <w:t>Effective date</w:t>
            </w:r>
          </w:p>
        </w:tc>
        <w:tc>
          <w:tcPr>
            <w:tcW w:type="dxa" w:w="6803"/>
          </w:tcPr>
          <w:p>
            <w:pPr>
              <w:spacing w:after="0"/>
            </w:pPr>
            <w:r>
              <w:rPr>
                <w:sz w:val="19"/>
              </w:rPr>
              <w:t>[EFFECTIVE DATE]</w:t>
            </w:r>
          </w:p>
        </w:tc>
      </w:tr>
      <w:tr>
        <w:trPr>
          <w:cantSplit w:val="true"/>
        </w:trPr>
        <w:tc>
          <w:tcPr>
            <w:tcW w:type="dxa" w:w="2835"/>
            <w:shd w:val="clear" w:color="auto" w:fill="DCE6F5"/>
          </w:tcPr>
          <w:p>
            <w:pPr>
              <w:spacing w:after="0"/>
            </w:pPr>
            <w:r>
              <w:rPr>
                <w:b/>
                <w:color w:val="1F3A5F"/>
                <w:sz w:val="19"/>
              </w:rPr>
              <w:t>Next review due</w:t>
            </w:r>
          </w:p>
        </w:tc>
        <w:tc>
          <w:tcPr>
            <w:tcW w:type="dxa" w:w="6803"/>
          </w:tcPr>
          <w:p>
            <w:pPr>
              <w:spacing w:after="0"/>
            </w:pPr>
            <w:r>
              <w:rPr>
                <w:sz w:val="19"/>
              </w:rPr>
              <w:t>[REVIEW DATE]  (default: 24 months from effective date, or sooner on change)</w:t>
            </w:r>
          </w:p>
        </w:tc>
      </w:tr>
      <w:tr>
        <w:trPr>
          <w:cantSplit w:val="true"/>
        </w:trPr>
        <w:tc>
          <w:tcPr>
            <w:tcW w:type="dxa" w:w="2835"/>
            <w:shd w:val="clear" w:color="auto" w:fill="DCE6F5"/>
          </w:tcPr>
          <w:p>
            <w:pPr>
              <w:spacing w:after="0"/>
            </w:pPr>
            <w:r>
              <w:rPr>
                <w:b/>
                <w:color w:val="1F3A5F"/>
                <w:sz w:val="19"/>
              </w:rPr>
              <w:t>ISO/IEC 17025:2017 clauses addressed</w:t>
            </w:r>
          </w:p>
        </w:tc>
        <w:tc>
          <w:tcPr>
            <w:tcW w:type="dxa" w:w="6803"/>
          </w:tcPr>
          <w:p>
            <w:pPr>
              <w:spacing w:after="0"/>
            </w:pPr>
            <w:r>
              <w:rPr>
                <w:sz w:val="19"/>
              </w:rPr>
              <w:t>See references section</w:t>
            </w:r>
          </w:p>
        </w:tc>
      </w:tr>
      <w:tr>
        <w:trPr>
          <w:cantSplit w:val="true"/>
        </w:trPr>
        <w:tc>
          <w:tcPr>
            <w:tcW w:type="dxa" w:w="2835"/>
            <w:shd w:val="clear" w:color="auto" w:fill="DCE6F5"/>
          </w:tcPr>
          <w:p>
            <w:pPr>
              <w:spacing w:after="0"/>
            </w:pPr>
            <w:r>
              <w:rPr>
                <w:b/>
                <w:color w:val="1F3A5F"/>
                <w:sz w:val="19"/>
              </w:rPr>
              <w:t>Prepared by</w:t>
            </w:r>
          </w:p>
        </w:tc>
        <w:tc>
          <w:tcPr>
            <w:tcW w:type="dxa" w:w="6803"/>
          </w:tcPr>
          <w:p>
            <w:pPr>
              <w:spacing w:after="0"/>
            </w:pPr>
            <w:r>
              <w:rPr>
                <w:sz w:val="19"/>
              </w:rPr>
              <w:t>[NAME, ROLE]                Signature: ____________   Date: __________</w:t>
            </w:r>
          </w:p>
        </w:tc>
      </w:tr>
      <w:tr>
        <w:trPr>
          <w:cantSplit w:val="true"/>
        </w:trPr>
        <w:tc>
          <w:tcPr>
            <w:tcW w:type="dxa" w:w="2835"/>
            <w:shd w:val="clear" w:color="auto" w:fill="DCE6F5"/>
          </w:tcPr>
          <w:p>
            <w:pPr>
              <w:spacing w:after="0"/>
            </w:pPr>
            <w:r>
              <w:rPr>
                <w:b/>
                <w:color w:val="1F3A5F"/>
                <w:sz w:val="19"/>
              </w:rPr>
              <w:t>Reviewed by</w:t>
            </w:r>
          </w:p>
        </w:tc>
        <w:tc>
          <w:tcPr>
            <w:tcW w:type="dxa" w:w="6803"/>
          </w:tcPr>
          <w:p>
            <w:pPr>
              <w:spacing w:after="0"/>
            </w:pPr>
            <w:r>
              <w:rPr>
                <w:sz w:val="19"/>
              </w:rPr>
              <w:t>[QUALITY MANAGER]         Signature: ____________   Date: __________</w:t>
            </w:r>
          </w:p>
        </w:tc>
      </w:tr>
      <w:tr>
        <w:trPr>
          <w:cantSplit w:val="true"/>
        </w:trPr>
        <w:tc>
          <w:tcPr>
            <w:tcW w:type="dxa" w:w="2835"/>
            <w:shd w:val="clear" w:color="auto" w:fill="DCE6F5"/>
          </w:tcPr>
          <w:p>
            <w:pPr>
              <w:spacing w:after="0"/>
            </w:pPr>
            <w:r>
              <w:rPr>
                <w:b/>
                <w:color w:val="1F3A5F"/>
                <w:sz w:val="19"/>
              </w:rPr>
              <w:t>Approved by</w:t>
            </w:r>
          </w:p>
        </w:tc>
        <w:tc>
          <w:tcPr>
            <w:tcW w:type="dxa" w:w="6803"/>
          </w:tcPr>
          <w:p>
            <w:pPr>
              <w:spacing w:after="0"/>
            </w:pPr>
            <w:r>
              <w:rPr>
                <w:sz w:val="19"/>
              </w:rPr>
              <w:t>[TOP MANAGEMENT / LABORATORY MANAGER]   Signature: ____________   Date: __________</w:t>
            </w:r>
          </w:p>
        </w:tc>
      </w:tr>
    </w:tbl>
    <w:p>
      <w:pPr>
        <w:spacing w:after="40"/>
      </w:pPr>
    </w:p>
    <w:p>
      <w:pPr>
        <w:keepNext/>
        <w:spacing w:before="160"/>
      </w:pPr>
      <w:r>
        <w:rPr>
          <w:b/>
          <w:color w:val="1F3A5F"/>
          <w:sz w:val="22"/>
        </w:rPr>
        <w:t>Revision history</w:t>
      </w:r>
    </w:p>
    <w:tbl>
      <w:tblPr>
        <w:tblStyle w:val="TableGrid"/>
        <w:tblW w:type="auto" w:w="0"/>
        <w:jc w:val="center"/>
        <w:tblLook w:firstColumn="1" w:firstRow="1" w:lastColumn="0" w:lastRow="0" w:noHBand="0" w:noVBand="1" w:val="04A0"/>
        <w:tblLayout w:type="fixed"/>
        <w:tblCellMar>
          <w:top w:w="60" w:type="dxa"/>
          <w:left w:w="90" w:type="dxa"/>
          <w:bottom w:w="60" w:type="dxa"/>
          <w:right w:w="90" w:type="dxa"/>
        </w:tblCellMar>
      </w:tblPr>
      <w:tblGrid>
        <w:gridCol w:w="1928"/>
        <w:gridCol w:w="1928"/>
        <w:gridCol w:w="1928"/>
        <w:gridCol w:w="1928"/>
        <w:gridCol w:w="1928"/>
      </w:tblGrid>
      <w:tr>
        <w:trPr>
          <w:tblHeader w:val="true"/>
          <w:cantSplit w:val="true"/>
        </w:trPr>
        <w:tc>
          <w:tcPr>
            <w:tcW w:type="dxa" w:w="794"/>
            <w:shd w:val="clear" w:color="auto" w:fill="DCE6F5"/>
          </w:tcPr>
          <w:p>
            <w:pPr>
              <w:spacing w:after="0"/>
            </w:pPr>
            <w:r>
              <w:rPr>
                <w:b/>
                <w:color w:val="1F3A5F"/>
                <w:sz w:val="19"/>
              </w:rPr>
              <w:t>Rev</w:t>
            </w:r>
          </w:p>
        </w:tc>
        <w:tc>
          <w:tcPr>
            <w:tcW w:type="dxa" w:w="1361"/>
            <w:shd w:val="clear" w:color="auto" w:fill="DCE6F5"/>
          </w:tcPr>
          <w:p>
            <w:pPr>
              <w:spacing w:after="0"/>
            </w:pPr>
            <w:r>
              <w:rPr>
                <w:b/>
                <w:color w:val="1F3A5F"/>
                <w:sz w:val="19"/>
              </w:rPr>
              <w:t>Date</w:t>
            </w:r>
          </w:p>
        </w:tc>
        <w:tc>
          <w:tcPr>
            <w:tcW w:type="dxa" w:w="4762"/>
            <w:shd w:val="clear" w:color="auto" w:fill="DCE6F5"/>
          </w:tcPr>
          <w:p>
            <w:pPr>
              <w:spacing w:after="0"/>
            </w:pPr>
            <w:r>
              <w:rPr>
                <w:b/>
                <w:color w:val="1F3A5F"/>
                <w:sz w:val="19"/>
              </w:rPr>
              <w:t>Description of change</w:t>
            </w:r>
          </w:p>
        </w:tc>
        <w:tc>
          <w:tcPr>
            <w:tcW w:type="dxa" w:w="1361"/>
            <w:shd w:val="clear" w:color="auto" w:fill="DCE6F5"/>
          </w:tcPr>
          <w:p>
            <w:pPr>
              <w:spacing w:after="0"/>
            </w:pPr>
            <w:r>
              <w:rPr>
                <w:b/>
                <w:color w:val="1F3A5F"/>
                <w:sz w:val="19"/>
              </w:rPr>
              <w:t>Author</w:t>
            </w:r>
          </w:p>
        </w:tc>
        <w:tc>
          <w:tcPr>
            <w:tcW w:type="dxa" w:w="1361"/>
            <w:shd w:val="clear" w:color="auto" w:fill="DCE6F5"/>
          </w:tcPr>
          <w:p>
            <w:pPr>
              <w:spacing w:after="0"/>
            </w:pPr>
            <w:r>
              <w:rPr>
                <w:b/>
                <w:color w:val="1F3A5F"/>
                <w:sz w:val="19"/>
              </w:rPr>
              <w:t>Approved</w:t>
            </w:r>
          </w:p>
        </w:tc>
      </w:tr>
      <w:tr>
        <w:trPr>
          <w:cantSplit w:val="true"/>
        </w:trPr>
        <w:tc>
          <w:tcPr>
            <w:tcW w:type="dxa" w:w="794"/>
          </w:tcPr>
          <w:p>
            <w:pPr>
              <w:spacing w:after="0"/>
            </w:pPr>
            <w:r>
              <w:rPr>
                <w:sz w:val="19"/>
              </w:rPr>
              <w:t>1.0</w:t>
            </w:r>
          </w:p>
        </w:tc>
        <w:tc>
          <w:tcPr>
            <w:tcW w:type="dxa" w:w="1361"/>
          </w:tcPr>
          <w:p>
            <w:pPr>
              <w:spacing w:after="0"/>
            </w:pPr>
            <w:r>
              <w:rPr>
                <w:sz w:val="19"/>
              </w:rPr>
              <w:t>[DATE]</w:t>
            </w:r>
          </w:p>
        </w:tc>
        <w:tc>
          <w:tcPr>
            <w:tcW w:type="dxa" w:w="4762"/>
          </w:tcPr>
          <w:p>
            <w:pPr>
              <w:spacing w:after="0"/>
            </w:pPr>
            <w:r>
              <w:rPr>
                <w:sz w:val="19"/>
              </w:rPr>
              <w:t>Initial issue of the ValiTrac template (pack v2.0).</w:t>
            </w:r>
          </w:p>
        </w:tc>
        <w:tc>
          <w:tcPr>
            <w:tcW w:type="dxa" w:w="1361"/>
          </w:tcPr>
          <w:p>
            <w:pPr>
              <w:spacing w:after="0"/>
            </w:pPr>
            <w:r>
              <w:rPr>
                <w:sz w:val="19"/>
              </w:rPr>
              <w:t>ValiTrac</w:t>
            </w:r>
          </w:p>
        </w:tc>
        <w:tc>
          <w:tcPr>
            <w:tcW w:type="dxa" w:w="1361"/>
          </w:tcPr>
          <w:p>
            <w:pPr>
              <w:spacing w:after="0"/>
            </w:pPr>
          </w:p>
        </w:tc>
      </w:tr>
      <w:tr>
        <w:trPr>
          <w:cantSplit w:val="true"/>
        </w:trPr>
        <w:tc>
          <w:tcPr>
            <w:tcW w:type="dxa" w:w="794"/>
            <w:shd w:val="clear" w:color="auto" w:fill="F5F7FB"/>
          </w:tcPr>
          <w:p>
            <w:pPr>
              <w:spacing w:after="0"/>
            </w:pPr>
          </w:p>
        </w:tc>
        <w:tc>
          <w:tcPr>
            <w:tcW w:type="dxa" w:w="1361"/>
            <w:shd w:val="clear" w:color="auto" w:fill="F5F7FB"/>
          </w:tcPr>
          <w:p>
            <w:pPr>
              <w:spacing w:after="0"/>
            </w:pPr>
          </w:p>
        </w:tc>
        <w:tc>
          <w:tcPr>
            <w:tcW w:type="dxa" w:w="4762"/>
            <w:shd w:val="clear" w:color="auto" w:fill="F5F7FB"/>
          </w:tcPr>
          <w:p>
            <w:pPr>
              <w:spacing w:after="0"/>
            </w:pPr>
          </w:p>
        </w:tc>
        <w:tc>
          <w:tcPr>
            <w:tcW w:type="dxa" w:w="1361"/>
            <w:shd w:val="clear" w:color="auto" w:fill="F5F7FB"/>
          </w:tcPr>
          <w:p>
            <w:pPr>
              <w:spacing w:after="0"/>
            </w:pPr>
          </w:p>
        </w:tc>
        <w:tc>
          <w:tcPr>
            <w:tcW w:type="dxa" w:w="1361"/>
            <w:shd w:val="clear" w:color="auto" w:fill="F5F7FB"/>
          </w:tcPr>
          <w:p>
            <w:pPr>
              <w:spacing w:after="0"/>
            </w:pPr>
          </w:p>
        </w:tc>
      </w:tr>
      <w:tr>
        <w:trPr>
          <w:cantSplit w:val="true"/>
        </w:trPr>
        <w:tc>
          <w:tcPr>
            <w:tcW w:type="dxa" w:w="794"/>
          </w:tcPr>
          <w:p>
            <w:pPr>
              <w:spacing w:after="0"/>
            </w:pPr>
          </w:p>
        </w:tc>
        <w:tc>
          <w:tcPr>
            <w:tcW w:type="dxa" w:w="1361"/>
          </w:tcPr>
          <w:p>
            <w:pPr>
              <w:spacing w:after="0"/>
            </w:pPr>
          </w:p>
        </w:tc>
        <w:tc>
          <w:tcPr>
            <w:tcW w:type="dxa" w:w="4762"/>
          </w:tcPr>
          <w:p>
            <w:pPr>
              <w:spacing w:after="0"/>
            </w:pPr>
          </w:p>
        </w:tc>
        <w:tc>
          <w:tcPr>
            <w:tcW w:type="dxa" w:w="1361"/>
          </w:tcPr>
          <w:p>
            <w:pPr>
              <w:spacing w:after="0"/>
            </w:pPr>
          </w:p>
        </w:tc>
        <w:tc>
          <w:tcPr>
            <w:tcW w:type="dxa" w:w="1361"/>
          </w:tcPr>
          <w:p>
            <w:pPr>
              <w:spacing w:after="0"/>
            </w:pPr>
          </w:p>
        </w:tc>
      </w:tr>
    </w:tbl>
    <w:p>
      <w:pPr>
        <w:spacing w:after="40"/>
      </w:pPr>
    </w:p>
    <w:tbl>
      <w:tblPr>
        <w:tblW w:type="auto" w:w="0"/>
        <w:jc w:val="center"/>
        <w:tblLook w:firstColumn="1" w:firstRow="1" w:lastColumn="0" w:lastRow="0" w:noHBand="0" w:noVBand="1" w:val="04A0"/>
        <w:tblLayout w:type="fixed"/>
        <w:tblCellMar>
          <w:top w:w="100" w:type="dxa"/>
          <w:left w:w="140" w:type="dxa"/>
          <w:bottom w:w="100" w:type="dxa"/>
          <w:right w:w="140" w:type="dxa"/>
        </w:tblCellMar>
      </w:tblPr>
      <w:tblGrid>
        <w:gridCol w:w="9638"/>
      </w:tblGrid>
      <w:tr>
        <w:tc>
          <w:tcPr>
            <w:tcW w:type="dxa" w:w="9638"/>
            <w:shd w:val="clear" w:color="auto" w:fill="EEF3FC"/>
          </w:tcPr>
          <w:p>
            <w:pPr>
              <w:spacing w:after="0"/>
            </w:pPr>
            <w:r>
              <w:rPr>
                <w:b/>
                <w:color w:val="1F3A5F"/>
                <w:sz w:val="18"/>
              </w:rPr>
              <w:t xml:space="preserve">NOTE  </w:t>
            </w:r>
            <w:r>
              <w:rPr>
                <w:sz w:val="19"/>
              </w:rPr>
              <w:t>This document is an original template published by ValiTrac (valitrac.com) to help laboratories prepare for ISO/IEC 17025:2017 accreditation (for example by UKAS). It must be customised, technically reviewed and formally approved by the adopting laboratory before use. It does not reproduce the text of ISO/IEC 17025 or any UKAS publication, and it does not by itself confer or guarantee accreditation.</w:t>
            </w:r>
          </w:p>
        </w:tc>
      </w:tr>
    </w:tbl>
    <w:p>
      <w:pPr>
        <w:spacing w:after="40"/>
      </w:pPr>
    </w:p>
    <w:p>
      <w:pPr>
        <w:keepNext/>
        <w:spacing w:before="280"/>
      </w:pPr>
      <w:r>
        <w:rPr>
          <w:b/>
          <w:color w:val="1F3A5F"/>
          <w:sz w:val="30"/>
        </w:rPr>
        <w:t>Contents</w:t>
      </w:r>
    </w:p>
    <w:p>
      <w:r>
        <w:fldChar w:fldCharType="begin"/>
        <w:instrText xml:space="preserve">TOC \o "1-3" \h \z \u</w:instrText>
        <w:fldChar w:fldCharType="separate"/>
        <w:t>Right-click and choose Update Field (or press Ctrl+A then F9) to build the table of contents.</w:t>
        <w:fldChar w:fldCharType="end"/>
      </w:r>
    </w:p>
    <w:p>
      <w:r>
        <w:br w:type="page"/>
      </w:r>
    </w:p>
    <w:p>
      <w:pPr>
        <w:pStyle w:val="Heading1"/>
      </w:pPr>
      <w:r>
        <w:t>1. What this pack is</w:t>
      </w:r>
    </w:p>
    <w:p>
      <w:r>
        <w:t>The ValiTrac ISO/IEC 17025:2017 Laboratory Documentation Pack (version 2.0, 2026-09-13) is a complete, integrated set of management system documents for a calibration laboratory preparing for accreditation to ISO/IEC 17025:2017 by UKAS or another ILAC MRA signatory accreditation body. It contains a Quality Manual, 33 procedures, 50 forms, 6 checklists, 6 guides, an uncertainty calculator workbook and a GMP validation and thermal mapping set (10 protocols and 10 forms). Every document uses the same identifiers, cross-references and terminology, so that the system reads as one system rather than a collection of templates.</w:t>
      </w:r>
    </w:p>
    <w:p>
      <w:r>
        <w:t>The pack was written by ValiTrac (valitrac.com) as an original work. It does not reproduce the text of ISO/IEC 17025, UKAS publications, ILAC or EURAMET documents; it describes, in a laboratory's own words, how those requirements can be met. Laboratories must obtain the standard and the applicable accreditation-body publications themselves and verify the current editions.</w:t>
      </w:r>
    </w:p>
    <w:tbl>
      <w:tblPr>
        <w:tblW w:type="auto" w:w="0"/>
        <w:jc w:val="center"/>
        <w:tblLook w:firstColumn="1" w:firstRow="1" w:lastColumn="0" w:lastRow="0" w:noHBand="0" w:noVBand="1" w:val="04A0"/>
        <w:tblLayout w:type="fixed"/>
        <w:tblCellMar>
          <w:top w:w="100" w:type="dxa"/>
          <w:left w:w="140" w:type="dxa"/>
          <w:bottom w:w="100" w:type="dxa"/>
          <w:right w:w="140" w:type="dxa"/>
        </w:tblCellMar>
      </w:tblPr>
      <w:tblGrid>
        <w:gridCol w:w="9638"/>
      </w:tblGrid>
      <w:tr>
        <w:tc>
          <w:tcPr>
            <w:tcW w:type="dxa" w:w="9638"/>
            <w:shd w:val="clear" w:color="auto" w:fill="FBF3DF"/>
          </w:tcPr>
          <w:p>
            <w:pPr>
              <w:spacing w:after="0"/>
            </w:pPr>
            <w:r>
              <w:rPr>
                <w:b/>
                <w:color w:val="1F3A5F"/>
                <w:sz w:val="18"/>
              </w:rPr>
              <w:t xml:space="preserve">IMPORTANT  </w:t>
            </w:r>
            <w:r>
              <w:rPr>
                <w:sz w:val="19"/>
              </w:rPr>
              <w:t>The pack is a starting point, not a finished management system. Accreditation is granted for what a laboratory actually does and can evidence, not for what its documents say. Every document must be customised to the Laboratory's real organisation, equipment, methods and scope, technically reviewed, approved, implemented and then operated long enough to generate records before an assessment.</w:t>
            </w:r>
          </w:p>
        </w:tc>
      </w:tr>
    </w:tbl>
    <w:p>
      <w:pPr>
        <w:spacing w:after="40"/>
      </w:pPr>
    </w:p>
    <w:p>
      <w:pPr>
        <w:pStyle w:val="Heading1"/>
      </w:pPr>
      <w:r>
        <w:t>2. Contents of the pack</w:t>
      </w:r>
    </w:p>
    <w:tbl>
      <w:tblPr>
        <w:tblStyle w:val="TableGrid"/>
        <w:tblW w:type="auto" w:w="0"/>
        <w:jc w:val="center"/>
        <w:tblLook w:firstColumn="1" w:firstRow="1" w:lastColumn="0" w:lastRow="0" w:noHBand="0" w:noVBand="1" w:val="04A0"/>
        <w:tblLayout w:type="fixed"/>
        <w:tblCellMar>
          <w:top w:w="60" w:type="dxa"/>
          <w:left w:w="90" w:type="dxa"/>
          <w:bottom w:w="60" w:type="dxa"/>
          <w:right w:w="90" w:type="dxa"/>
        </w:tblCellMar>
      </w:tblPr>
      <w:tblGrid>
        <w:gridCol w:w="3213"/>
        <w:gridCol w:w="3213"/>
        <w:gridCol w:w="3213"/>
      </w:tblGrid>
      <w:tr>
        <w:trPr>
          <w:tblHeader w:val="true"/>
          <w:cantSplit w:val="true"/>
        </w:trPr>
        <w:tc>
          <w:tcPr>
            <w:tcW w:type="dxa" w:w="3685"/>
            <w:shd w:val="clear" w:color="auto" w:fill="DCE6F5"/>
          </w:tcPr>
          <w:p>
            <w:pPr>
              <w:spacing w:after="0"/>
            </w:pPr>
            <w:r>
              <w:rPr>
                <w:b/>
                <w:color w:val="1F3A5F"/>
                <w:sz w:val="19"/>
              </w:rPr>
              <w:t>Folder</w:t>
            </w:r>
          </w:p>
        </w:tc>
        <w:tc>
          <w:tcPr>
            <w:tcW w:type="dxa" w:w="4535"/>
            <w:shd w:val="clear" w:color="auto" w:fill="DCE6F5"/>
          </w:tcPr>
          <w:p>
            <w:pPr>
              <w:spacing w:after="0"/>
            </w:pPr>
            <w:r>
              <w:rPr>
                <w:b/>
                <w:color w:val="1F3A5F"/>
                <w:sz w:val="19"/>
              </w:rPr>
              <w:t>Content</w:t>
            </w:r>
          </w:p>
        </w:tc>
        <w:tc>
          <w:tcPr>
            <w:tcW w:type="dxa" w:w="1417"/>
            <w:shd w:val="clear" w:color="auto" w:fill="DCE6F5"/>
          </w:tcPr>
          <w:p>
            <w:pPr>
              <w:spacing w:after="0"/>
            </w:pPr>
            <w:r>
              <w:rPr>
                <w:b/>
                <w:color w:val="1F3A5F"/>
                <w:sz w:val="19"/>
              </w:rPr>
              <w:t>Documents</w:t>
            </w:r>
          </w:p>
        </w:tc>
      </w:tr>
      <w:tr>
        <w:trPr>
          <w:cantSplit w:val="true"/>
        </w:trPr>
        <w:tc>
          <w:tcPr>
            <w:tcW w:type="dxa" w:w="3685"/>
          </w:tcPr>
          <w:p>
            <w:pPr>
              <w:spacing w:after="0"/>
            </w:pPr>
            <w:r>
              <w:rPr>
                <w:sz w:val="19"/>
              </w:rPr>
              <w:t>00-Start-Here</w:t>
            </w:r>
          </w:p>
        </w:tc>
        <w:tc>
          <w:tcPr>
            <w:tcW w:type="dxa" w:w="4535"/>
          </w:tcPr>
          <w:p>
            <w:pPr>
              <w:spacing w:after="0"/>
            </w:pPr>
            <w:r>
              <w:rPr>
                <w:sz w:val="19"/>
              </w:rPr>
              <w:t>Start here</w:t>
            </w:r>
          </w:p>
        </w:tc>
        <w:tc>
          <w:tcPr>
            <w:tcW w:type="dxa" w:w="1417"/>
          </w:tcPr>
          <w:p>
            <w:pPr>
              <w:spacing w:after="0"/>
            </w:pPr>
            <w:r>
              <w:rPr>
                <w:sz w:val="19"/>
              </w:rPr>
              <w:t>6</w:t>
            </w:r>
          </w:p>
        </w:tc>
      </w:tr>
      <w:tr>
        <w:trPr>
          <w:cantSplit w:val="true"/>
        </w:trPr>
        <w:tc>
          <w:tcPr>
            <w:tcW w:type="dxa" w:w="3685"/>
            <w:shd w:val="clear" w:color="auto" w:fill="F5F7FB"/>
          </w:tcPr>
          <w:p>
            <w:pPr>
              <w:spacing w:after="0"/>
            </w:pPr>
            <w:r>
              <w:rPr>
                <w:sz w:val="19"/>
              </w:rPr>
              <w:t>01-Quality-Manual</w:t>
            </w:r>
          </w:p>
        </w:tc>
        <w:tc>
          <w:tcPr>
            <w:tcW w:type="dxa" w:w="4535"/>
            <w:shd w:val="clear" w:color="auto" w:fill="F5F7FB"/>
          </w:tcPr>
          <w:p>
            <w:pPr>
              <w:spacing w:after="0"/>
            </w:pPr>
            <w:r>
              <w:rPr>
                <w:sz w:val="19"/>
              </w:rPr>
              <w:t>Quality manual</w:t>
            </w:r>
          </w:p>
        </w:tc>
        <w:tc>
          <w:tcPr>
            <w:tcW w:type="dxa" w:w="1417"/>
            <w:shd w:val="clear" w:color="auto" w:fill="F5F7FB"/>
          </w:tcPr>
          <w:p>
            <w:pPr>
              <w:spacing w:after="0"/>
            </w:pPr>
            <w:r>
              <w:rPr>
                <w:sz w:val="19"/>
              </w:rPr>
              <w:t>1</w:t>
            </w:r>
          </w:p>
        </w:tc>
      </w:tr>
      <w:tr>
        <w:trPr>
          <w:cantSplit w:val="true"/>
        </w:trPr>
        <w:tc>
          <w:tcPr>
            <w:tcW w:type="dxa" w:w="3685"/>
          </w:tcPr>
          <w:p>
            <w:pPr>
              <w:spacing w:after="0"/>
            </w:pPr>
            <w:r>
              <w:rPr>
                <w:sz w:val="19"/>
              </w:rPr>
              <w:t>02-Procedures</w:t>
            </w:r>
          </w:p>
        </w:tc>
        <w:tc>
          <w:tcPr>
            <w:tcW w:type="dxa" w:w="4535"/>
          </w:tcPr>
          <w:p>
            <w:pPr>
              <w:spacing w:after="0"/>
            </w:pPr>
            <w:r>
              <w:rPr>
                <w:sz w:val="19"/>
              </w:rPr>
              <w:t>Procedures</w:t>
            </w:r>
          </w:p>
        </w:tc>
        <w:tc>
          <w:tcPr>
            <w:tcW w:type="dxa" w:w="1417"/>
          </w:tcPr>
          <w:p>
            <w:pPr>
              <w:spacing w:after="0"/>
            </w:pPr>
            <w:r>
              <w:rPr>
                <w:sz w:val="19"/>
              </w:rPr>
              <w:t>33</w:t>
            </w:r>
          </w:p>
        </w:tc>
      </w:tr>
      <w:tr>
        <w:trPr>
          <w:cantSplit w:val="true"/>
        </w:trPr>
        <w:tc>
          <w:tcPr>
            <w:tcW w:type="dxa" w:w="3685"/>
            <w:shd w:val="clear" w:color="auto" w:fill="F5F7FB"/>
          </w:tcPr>
          <w:p>
            <w:pPr>
              <w:spacing w:after="0"/>
            </w:pPr>
            <w:r>
              <w:rPr>
                <w:sz w:val="19"/>
              </w:rPr>
              <w:t>03-Forms</w:t>
            </w:r>
          </w:p>
        </w:tc>
        <w:tc>
          <w:tcPr>
            <w:tcW w:type="dxa" w:w="4535"/>
            <w:shd w:val="clear" w:color="auto" w:fill="F5F7FB"/>
          </w:tcPr>
          <w:p>
            <w:pPr>
              <w:spacing w:after="0"/>
            </w:pPr>
            <w:r>
              <w:rPr>
                <w:sz w:val="19"/>
              </w:rPr>
              <w:t>Forms and records</w:t>
            </w:r>
          </w:p>
        </w:tc>
        <w:tc>
          <w:tcPr>
            <w:tcW w:type="dxa" w:w="1417"/>
            <w:shd w:val="clear" w:color="auto" w:fill="F5F7FB"/>
          </w:tcPr>
          <w:p>
            <w:pPr>
              <w:spacing w:after="0"/>
            </w:pPr>
            <w:r>
              <w:rPr>
                <w:sz w:val="19"/>
              </w:rPr>
              <w:t>50</w:t>
            </w:r>
          </w:p>
        </w:tc>
      </w:tr>
      <w:tr>
        <w:trPr>
          <w:cantSplit w:val="true"/>
        </w:trPr>
        <w:tc>
          <w:tcPr>
            <w:tcW w:type="dxa" w:w="3685"/>
          </w:tcPr>
          <w:p>
            <w:pPr>
              <w:spacing w:after="0"/>
            </w:pPr>
            <w:r>
              <w:rPr>
                <w:sz w:val="19"/>
              </w:rPr>
              <w:t>06-Checklists</w:t>
            </w:r>
          </w:p>
        </w:tc>
        <w:tc>
          <w:tcPr>
            <w:tcW w:type="dxa" w:w="4535"/>
          </w:tcPr>
          <w:p>
            <w:pPr>
              <w:spacing w:after="0"/>
            </w:pPr>
            <w:r>
              <w:rPr>
                <w:sz w:val="19"/>
              </w:rPr>
              <w:t>Checklists</w:t>
            </w:r>
          </w:p>
        </w:tc>
        <w:tc>
          <w:tcPr>
            <w:tcW w:type="dxa" w:w="1417"/>
          </w:tcPr>
          <w:p>
            <w:pPr>
              <w:spacing w:after="0"/>
            </w:pPr>
            <w:r>
              <w:rPr>
                <w:sz w:val="19"/>
              </w:rPr>
              <w:t>6</w:t>
            </w:r>
          </w:p>
        </w:tc>
      </w:tr>
      <w:tr>
        <w:trPr>
          <w:cantSplit w:val="true"/>
        </w:trPr>
        <w:tc>
          <w:tcPr>
            <w:tcW w:type="dxa" w:w="3685"/>
            <w:shd w:val="clear" w:color="auto" w:fill="F5F7FB"/>
          </w:tcPr>
          <w:p>
            <w:pPr>
              <w:spacing w:after="0"/>
            </w:pPr>
            <w:r>
              <w:rPr>
                <w:sz w:val="19"/>
              </w:rPr>
              <w:t>05-Validation/Protocols</w:t>
            </w:r>
          </w:p>
        </w:tc>
        <w:tc>
          <w:tcPr>
            <w:tcW w:type="dxa" w:w="4535"/>
            <w:shd w:val="clear" w:color="auto" w:fill="F5F7FB"/>
          </w:tcPr>
          <w:p>
            <w:pPr>
              <w:spacing w:after="0"/>
            </w:pPr>
            <w:r>
              <w:rPr>
                <w:sz w:val="19"/>
              </w:rPr>
              <w:t>Validation protocols</w:t>
            </w:r>
          </w:p>
        </w:tc>
        <w:tc>
          <w:tcPr>
            <w:tcW w:type="dxa" w:w="1417"/>
            <w:shd w:val="clear" w:color="auto" w:fill="F5F7FB"/>
          </w:tcPr>
          <w:p>
            <w:pPr>
              <w:spacing w:after="0"/>
            </w:pPr>
            <w:r>
              <w:rPr>
                <w:sz w:val="19"/>
              </w:rPr>
              <w:t>10</w:t>
            </w:r>
          </w:p>
        </w:tc>
      </w:tr>
      <w:tr>
        <w:trPr>
          <w:cantSplit w:val="true"/>
        </w:trPr>
        <w:tc>
          <w:tcPr>
            <w:tcW w:type="dxa" w:w="3685"/>
          </w:tcPr>
          <w:p>
            <w:pPr>
              <w:spacing w:after="0"/>
            </w:pPr>
            <w:r>
              <w:rPr>
                <w:sz w:val="19"/>
              </w:rPr>
              <w:t>05-Validation/Forms</w:t>
            </w:r>
          </w:p>
        </w:tc>
        <w:tc>
          <w:tcPr>
            <w:tcW w:type="dxa" w:w="4535"/>
          </w:tcPr>
          <w:p>
            <w:pPr>
              <w:spacing w:after="0"/>
            </w:pPr>
            <w:r>
              <w:rPr>
                <w:sz w:val="19"/>
              </w:rPr>
              <w:t>Validation forms</w:t>
            </w:r>
          </w:p>
        </w:tc>
        <w:tc>
          <w:tcPr>
            <w:tcW w:type="dxa" w:w="1417"/>
          </w:tcPr>
          <w:p>
            <w:pPr>
              <w:spacing w:after="0"/>
            </w:pPr>
            <w:r>
              <w:rPr>
                <w:sz w:val="19"/>
              </w:rPr>
              <w:t>10</w:t>
            </w:r>
          </w:p>
        </w:tc>
      </w:tr>
      <w:tr>
        <w:trPr>
          <w:cantSplit w:val="true"/>
        </w:trPr>
        <w:tc>
          <w:tcPr>
            <w:tcW w:type="dxa" w:w="3685"/>
            <w:shd w:val="clear" w:color="auto" w:fill="F5F7FB"/>
          </w:tcPr>
          <w:p>
            <w:pPr>
              <w:spacing w:after="0"/>
            </w:pPr>
            <w:r>
              <w:rPr>
                <w:sz w:val="19"/>
              </w:rPr>
              <w:t>04-Uncertainty-Calculator</w:t>
            </w:r>
          </w:p>
        </w:tc>
        <w:tc>
          <w:tcPr>
            <w:tcW w:type="dxa" w:w="4535"/>
            <w:shd w:val="clear" w:color="auto" w:fill="F5F7FB"/>
          </w:tcPr>
          <w:p>
            <w:pPr>
              <w:spacing w:after="0"/>
            </w:pPr>
            <w:r>
              <w:rPr>
                <w:sz w:val="19"/>
              </w:rPr>
              <w:t>Excel workbook (GUM / M3003 budgets, decision rules, k-factor tables)</w:t>
            </w:r>
          </w:p>
        </w:tc>
        <w:tc>
          <w:tcPr>
            <w:tcW w:type="dxa" w:w="1417"/>
            <w:shd w:val="clear" w:color="auto" w:fill="F5F7FB"/>
          </w:tcPr>
          <w:p>
            <w:pPr>
              <w:spacing w:after="0"/>
            </w:pPr>
            <w:r>
              <w:rPr>
                <w:sz w:val="19"/>
              </w:rPr>
              <w:t>1</w:t>
            </w:r>
          </w:p>
        </w:tc>
      </w:tr>
    </w:tbl>
    <w:p>
      <w:pPr>
        <w:spacing w:after="40"/>
      </w:pPr>
    </w:p>
    <w:p>
      <w:r>
        <w:t>The full list with titles and clause references is GD-04 Master Document List; the mapping from every clause of the standard to the documents that address it is GD-03.</w:t>
      </w:r>
    </w:p>
    <w:p>
      <w:pPr>
        <w:pStyle w:val="Heading1"/>
      </w:pPr>
      <w:r>
        <w:t>3. Document hierarchy and identifiers</w:t>
      </w:r>
    </w:p>
    <w:tbl>
      <w:tblPr>
        <w:tblStyle w:val="TableGrid"/>
        <w:tblW w:type="auto" w:w="0"/>
        <w:jc w:val="center"/>
        <w:tblLook w:firstColumn="1" w:firstRow="1" w:lastColumn="0" w:lastRow="0" w:noHBand="0" w:noVBand="1" w:val="04A0"/>
        <w:tblLayout w:type="fixed"/>
        <w:tblCellMar>
          <w:top w:w="60" w:type="dxa"/>
          <w:left w:w="90" w:type="dxa"/>
          <w:bottom w:w="60" w:type="dxa"/>
          <w:right w:w="90" w:type="dxa"/>
        </w:tblCellMar>
      </w:tblPr>
      <w:tblGrid>
        <w:gridCol w:w="2409"/>
        <w:gridCol w:w="2409"/>
        <w:gridCol w:w="2409"/>
        <w:gridCol w:w="2409"/>
      </w:tblGrid>
      <w:tr>
        <w:trPr>
          <w:tblHeader w:val="true"/>
          <w:cantSplit w:val="true"/>
        </w:trPr>
        <w:tc>
          <w:tcPr>
            <w:tcW w:type="dxa" w:w="1134"/>
            <w:shd w:val="clear" w:color="auto" w:fill="DCE6F5"/>
          </w:tcPr>
          <w:p>
            <w:pPr>
              <w:spacing w:after="0"/>
            </w:pPr>
            <w:r>
              <w:rPr>
                <w:b/>
                <w:color w:val="1F3A5F"/>
                <w:sz w:val="19"/>
              </w:rPr>
              <w:t>Prefix</w:t>
            </w:r>
          </w:p>
        </w:tc>
        <w:tc>
          <w:tcPr>
            <w:tcW w:type="dxa" w:w="3402"/>
            <w:shd w:val="clear" w:color="auto" w:fill="DCE6F5"/>
          </w:tcPr>
          <w:p>
            <w:pPr>
              <w:spacing w:after="0"/>
            </w:pPr>
            <w:r>
              <w:rPr>
                <w:b/>
                <w:color w:val="1F3A5F"/>
                <w:sz w:val="19"/>
              </w:rPr>
              <w:t>Type</w:t>
            </w:r>
          </w:p>
        </w:tc>
        <w:tc>
          <w:tcPr>
            <w:tcW w:type="dxa" w:w="2268"/>
            <w:shd w:val="clear" w:color="auto" w:fill="DCE6F5"/>
          </w:tcPr>
          <w:p>
            <w:pPr>
              <w:spacing w:after="0"/>
            </w:pPr>
            <w:r>
              <w:rPr>
                <w:b/>
                <w:color w:val="1F3A5F"/>
                <w:sz w:val="19"/>
              </w:rPr>
              <w:t>Approval</w:t>
            </w:r>
          </w:p>
        </w:tc>
        <w:tc>
          <w:tcPr>
            <w:tcW w:type="dxa" w:w="2835"/>
            <w:shd w:val="clear" w:color="auto" w:fill="DCE6F5"/>
          </w:tcPr>
          <w:p>
            <w:pPr>
              <w:spacing w:after="0"/>
            </w:pPr>
            <w:r>
              <w:rPr>
                <w:b/>
                <w:color w:val="1F3A5F"/>
                <w:sz w:val="19"/>
              </w:rPr>
              <w:t>Purpose</w:t>
            </w:r>
          </w:p>
        </w:tc>
      </w:tr>
      <w:tr>
        <w:trPr>
          <w:cantSplit w:val="true"/>
        </w:trPr>
        <w:tc>
          <w:tcPr>
            <w:tcW w:type="dxa" w:w="1134"/>
          </w:tcPr>
          <w:p>
            <w:pPr>
              <w:spacing w:after="0"/>
            </w:pPr>
            <w:r>
              <w:rPr>
                <w:sz w:val="19"/>
              </w:rPr>
              <w:t>QM</w:t>
            </w:r>
          </w:p>
        </w:tc>
        <w:tc>
          <w:tcPr>
            <w:tcW w:type="dxa" w:w="3402"/>
          </w:tcPr>
          <w:p>
            <w:pPr>
              <w:spacing w:after="0"/>
            </w:pPr>
            <w:r>
              <w:rPr>
                <w:sz w:val="19"/>
              </w:rPr>
              <w:t>Quality Manual</w:t>
            </w:r>
          </w:p>
        </w:tc>
        <w:tc>
          <w:tcPr>
            <w:tcW w:type="dxa" w:w="2268"/>
          </w:tcPr>
          <w:p>
            <w:pPr>
              <w:spacing w:after="0"/>
            </w:pPr>
            <w:r>
              <w:rPr>
                <w:sz w:val="19"/>
              </w:rPr>
              <w:t>Top management</w:t>
            </w:r>
          </w:p>
        </w:tc>
        <w:tc>
          <w:tcPr>
            <w:tcW w:type="dxa" w:w="2835"/>
          </w:tcPr>
          <w:p>
            <w:pPr>
              <w:spacing w:after="0"/>
            </w:pPr>
            <w:r>
              <w:rPr>
                <w:sz w:val="19"/>
              </w:rPr>
              <w:t>Policy and system description clause by clause</w:t>
            </w:r>
          </w:p>
        </w:tc>
      </w:tr>
      <w:tr>
        <w:trPr>
          <w:cantSplit w:val="true"/>
        </w:trPr>
        <w:tc>
          <w:tcPr>
            <w:tcW w:type="dxa" w:w="1134"/>
            <w:shd w:val="clear" w:color="auto" w:fill="F5F7FB"/>
          </w:tcPr>
          <w:p>
            <w:pPr>
              <w:spacing w:after="0"/>
            </w:pPr>
            <w:r>
              <w:rPr>
                <w:sz w:val="19"/>
              </w:rPr>
              <w:t>GD</w:t>
            </w:r>
          </w:p>
        </w:tc>
        <w:tc>
          <w:tcPr>
            <w:tcW w:type="dxa" w:w="3402"/>
            <w:shd w:val="clear" w:color="auto" w:fill="F5F7FB"/>
          </w:tcPr>
          <w:p>
            <w:pPr>
              <w:spacing w:after="0"/>
            </w:pPr>
            <w:r>
              <w:rPr>
                <w:sz w:val="19"/>
              </w:rPr>
              <w:t>Guides and policy statements</w:t>
            </w:r>
          </w:p>
        </w:tc>
        <w:tc>
          <w:tcPr>
            <w:tcW w:type="dxa" w:w="2268"/>
            <w:shd w:val="clear" w:color="auto" w:fill="F5F7FB"/>
          </w:tcPr>
          <w:p>
            <w:pPr>
              <w:spacing w:after="0"/>
            </w:pPr>
            <w:r>
              <w:rPr>
                <w:sz w:val="19"/>
              </w:rPr>
              <w:t>Top management / Quality Manager</w:t>
            </w:r>
          </w:p>
        </w:tc>
        <w:tc>
          <w:tcPr>
            <w:tcW w:type="dxa" w:w="2835"/>
            <w:shd w:val="clear" w:color="auto" w:fill="F5F7FB"/>
          </w:tcPr>
          <w:p>
            <w:pPr>
              <w:spacing w:after="0"/>
            </w:pPr>
            <w:r>
              <w:rPr>
                <w:sz w:val="19"/>
              </w:rPr>
              <w:t>Implementation guidance, matrices, policy</w:t>
            </w:r>
          </w:p>
        </w:tc>
      </w:tr>
      <w:tr>
        <w:trPr>
          <w:cantSplit w:val="true"/>
        </w:trPr>
        <w:tc>
          <w:tcPr>
            <w:tcW w:type="dxa" w:w="1134"/>
          </w:tcPr>
          <w:p>
            <w:pPr>
              <w:spacing w:after="0"/>
            </w:pPr>
            <w:r>
              <w:rPr>
                <w:sz w:val="19"/>
              </w:rPr>
              <w:t>SOP</w:t>
            </w:r>
          </w:p>
        </w:tc>
        <w:tc>
          <w:tcPr>
            <w:tcW w:type="dxa" w:w="3402"/>
          </w:tcPr>
          <w:p>
            <w:pPr>
              <w:spacing w:after="0"/>
            </w:pPr>
            <w:r>
              <w:rPr>
                <w:sz w:val="19"/>
              </w:rPr>
              <w:t>Procedures (management SOP-01 to 20 and 27 to 33; calibration SOP-21 to 26)</w:t>
            </w:r>
          </w:p>
        </w:tc>
        <w:tc>
          <w:tcPr>
            <w:tcW w:type="dxa" w:w="2268"/>
          </w:tcPr>
          <w:p>
            <w:pPr>
              <w:spacing w:after="0"/>
            </w:pPr>
            <w:r>
              <w:rPr>
                <w:sz w:val="19"/>
              </w:rPr>
              <w:t>Quality Manager and Technical Manager</w:t>
            </w:r>
          </w:p>
        </w:tc>
        <w:tc>
          <w:tcPr>
            <w:tcW w:type="dxa" w:w="2835"/>
          </w:tcPr>
          <w:p>
            <w:pPr>
              <w:spacing w:after="0"/>
            </w:pPr>
            <w:r>
              <w:rPr>
                <w:sz w:val="19"/>
              </w:rPr>
              <w:t>How each process is carried out</w:t>
            </w:r>
          </w:p>
        </w:tc>
      </w:tr>
      <w:tr>
        <w:trPr>
          <w:cantSplit w:val="true"/>
        </w:trPr>
        <w:tc>
          <w:tcPr>
            <w:tcW w:type="dxa" w:w="1134"/>
            <w:shd w:val="clear" w:color="auto" w:fill="F5F7FB"/>
          </w:tcPr>
          <w:p>
            <w:pPr>
              <w:spacing w:after="0"/>
            </w:pPr>
            <w:r>
              <w:rPr>
                <w:sz w:val="19"/>
              </w:rPr>
              <w:t>FRM</w:t>
            </w:r>
          </w:p>
        </w:tc>
        <w:tc>
          <w:tcPr>
            <w:tcW w:type="dxa" w:w="3402"/>
            <w:shd w:val="clear" w:color="auto" w:fill="F5F7FB"/>
          </w:tcPr>
          <w:p>
            <w:pPr>
              <w:spacing w:after="0"/>
            </w:pPr>
            <w:r>
              <w:rPr>
                <w:sz w:val="19"/>
              </w:rPr>
              <w:t>Forms</w:t>
            </w:r>
          </w:p>
        </w:tc>
        <w:tc>
          <w:tcPr>
            <w:tcW w:type="dxa" w:w="2268"/>
            <w:shd w:val="clear" w:color="auto" w:fill="F5F7FB"/>
          </w:tcPr>
          <w:p>
            <w:pPr>
              <w:spacing w:after="0"/>
            </w:pPr>
            <w:r>
              <w:rPr>
                <w:sz w:val="19"/>
              </w:rPr>
              <w:t>Quality Manager</w:t>
            </w:r>
          </w:p>
        </w:tc>
        <w:tc>
          <w:tcPr>
            <w:tcW w:type="dxa" w:w="2835"/>
            <w:shd w:val="clear" w:color="auto" w:fill="F5F7FB"/>
          </w:tcPr>
          <w:p>
            <w:pPr>
              <w:spacing w:after="0"/>
            </w:pPr>
            <w:r>
              <w:rPr>
                <w:sz w:val="19"/>
              </w:rPr>
              <w:t>Templates that become records when completed</w:t>
            </w:r>
          </w:p>
        </w:tc>
      </w:tr>
      <w:tr>
        <w:trPr>
          <w:cantSplit w:val="true"/>
        </w:trPr>
        <w:tc>
          <w:tcPr>
            <w:tcW w:type="dxa" w:w="1134"/>
          </w:tcPr>
          <w:p>
            <w:pPr>
              <w:spacing w:after="0"/>
            </w:pPr>
            <w:r>
              <w:rPr>
                <w:sz w:val="19"/>
              </w:rPr>
              <w:t>CHK</w:t>
            </w:r>
          </w:p>
        </w:tc>
        <w:tc>
          <w:tcPr>
            <w:tcW w:type="dxa" w:w="3402"/>
          </w:tcPr>
          <w:p>
            <w:pPr>
              <w:spacing w:after="0"/>
            </w:pPr>
            <w:r>
              <w:rPr>
                <w:sz w:val="19"/>
              </w:rPr>
              <w:t>Checklists</w:t>
            </w:r>
          </w:p>
        </w:tc>
        <w:tc>
          <w:tcPr>
            <w:tcW w:type="dxa" w:w="2268"/>
          </w:tcPr>
          <w:p>
            <w:pPr>
              <w:spacing w:after="0"/>
            </w:pPr>
            <w:r>
              <w:rPr>
                <w:sz w:val="19"/>
              </w:rPr>
              <w:t>Quality Manager</w:t>
            </w:r>
          </w:p>
        </w:tc>
        <w:tc>
          <w:tcPr>
            <w:tcW w:type="dxa" w:w="2835"/>
          </w:tcPr>
          <w:p>
            <w:pPr>
              <w:spacing w:after="0"/>
            </w:pPr>
            <w:r>
              <w:rPr>
                <w:sz w:val="19"/>
              </w:rPr>
              <w:t>Self-assessment and review gates</w:t>
            </w:r>
          </w:p>
        </w:tc>
      </w:tr>
      <w:tr>
        <w:trPr>
          <w:cantSplit w:val="true"/>
        </w:trPr>
        <w:tc>
          <w:tcPr>
            <w:tcW w:type="dxa" w:w="1134"/>
            <w:shd w:val="clear" w:color="auto" w:fill="F5F7FB"/>
          </w:tcPr>
          <w:p>
            <w:pPr>
              <w:spacing w:after="0"/>
            </w:pPr>
            <w:r>
              <w:rPr>
                <w:sz w:val="19"/>
              </w:rPr>
              <w:t>VAL-P / VAL-F</w:t>
            </w:r>
          </w:p>
        </w:tc>
        <w:tc>
          <w:tcPr>
            <w:tcW w:type="dxa" w:w="3402"/>
            <w:shd w:val="clear" w:color="auto" w:fill="F5F7FB"/>
          </w:tcPr>
          <w:p>
            <w:pPr>
              <w:spacing w:after="0"/>
            </w:pPr>
            <w:r>
              <w:rPr>
                <w:sz w:val="19"/>
              </w:rPr>
              <w:t>Validation protocols and forms</w:t>
            </w:r>
          </w:p>
        </w:tc>
        <w:tc>
          <w:tcPr>
            <w:tcW w:type="dxa" w:w="2268"/>
            <w:shd w:val="clear" w:color="auto" w:fill="F5F7FB"/>
          </w:tcPr>
          <w:p>
            <w:pPr>
              <w:spacing w:after="0"/>
            </w:pPr>
            <w:r>
              <w:rPr>
                <w:sz w:val="19"/>
              </w:rPr>
              <w:t>Technical Manager / QA</w:t>
            </w:r>
          </w:p>
        </w:tc>
        <w:tc>
          <w:tcPr>
            <w:tcW w:type="dxa" w:w="2835"/>
            <w:shd w:val="clear" w:color="auto" w:fill="F5F7FB"/>
          </w:tcPr>
          <w:p>
            <w:pPr>
              <w:spacing w:after="0"/>
            </w:pPr>
            <w:r>
              <w:rPr>
                <w:sz w:val="19"/>
              </w:rPr>
              <w:t>GMP qualification and thermal mapping</w:t>
            </w:r>
          </w:p>
        </w:tc>
      </w:tr>
    </w:tbl>
    <w:p>
      <w:pPr>
        <w:spacing w:after="40"/>
      </w:pPr>
    </w:p>
    <w:p>
      <w:pPr>
        <w:pStyle w:val="Heading1"/>
      </w:pPr>
      <w:r>
        <w:t>4. Customising the documents</w:t>
      </w:r>
    </w:p>
    <w:p>
      <w:pPr>
        <w:pStyle w:val="Heading2"/>
      </w:pPr>
      <w:r>
        <w:t>4.1 Find-and-replace tokens</w:t>
      </w:r>
    </w:p>
    <w:p>
      <w:r>
        <w:t>Every document contains square-bracket tokens that must be replaced before approval. Use Word's Find and Replace (Ctrl+H) across each file, or a batch replace tool across the folder. The tokens are:</w:t>
      </w:r>
    </w:p>
    <w:tbl>
      <w:tblPr>
        <w:tblStyle w:val="TableGrid"/>
        <w:tblW w:type="auto" w:w="0"/>
        <w:jc w:val="center"/>
        <w:tblLook w:firstColumn="1" w:firstRow="1" w:lastColumn="0" w:lastRow="0" w:noHBand="0" w:noVBand="1" w:val="04A0"/>
        <w:tblLayout w:type="fixed"/>
        <w:tblCellMar>
          <w:top w:w="60" w:type="dxa"/>
          <w:left w:w="90" w:type="dxa"/>
          <w:bottom w:w="60" w:type="dxa"/>
          <w:right w:w="90" w:type="dxa"/>
        </w:tblCellMar>
      </w:tblPr>
      <w:tblGrid>
        <w:gridCol w:w="4819"/>
        <w:gridCol w:w="4819"/>
      </w:tblGrid>
      <w:tr>
        <w:trPr>
          <w:tblHeader w:val="true"/>
          <w:cantSplit w:val="true"/>
        </w:trPr>
        <w:tc>
          <w:tcPr>
            <w:tcW w:type="dxa" w:w="3402"/>
            <w:shd w:val="clear" w:color="auto" w:fill="DCE6F5"/>
          </w:tcPr>
          <w:p>
            <w:pPr>
              <w:spacing w:after="0"/>
            </w:pPr>
            <w:r>
              <w:rPr>
                <w:b/>
                <w:color w:val="1F3A5F"/>
                <w:sz w:val="19"/>
              </w:rPr>
              <w:t>Token</w:t>
            </w:r>
          </w:p>
        </w:tc>
        <w:tc>
          <w:tcPr>
            <w:tcW w:type="dxa" w:w="6236"/>
            <w:shd w:val="clear" w:color="auto" w:fill="DCE6F5"/>
          </w:tcPr>
          <w:p>
            <w:pPr>
              <w:spacing w:after="0"/>
            </w:pPr>
            <w:r>
              <w:rPr>
                <w:b/>
                <w:color w:val="1F3A5F"/>
                <w:sz w:val="19"/>
              </w:rPr>
              <w:t>Replace with</w:t>
            </w:r>
          </w:p>
        </w:tc>
      </w:tr>
      <w:tr>
        <w:trPr>
          <w:cantSplit w:val="true"/>
        </w:trPr>
        <w:tc>
          <w:tcPr>
            <w:tcW w:type="dxa" w:w="3402"/>
          </w:tcPr>
          <w:p>
            <w:pPr>
              <w:spacing w:after="0"/>
            </w:pPr>
            <w:r>
              <w:rPr>
                <w:sz w:val="19"/>
              </w:rPr>
              <w:t>[LABORATORY NAME]</w:t>
            </w:r>
          </w:p>
        </w:tc>
        <w:tc>
          <w:tcPr>
            <w:tcW w:type="dxa" w:w="6236"/>
          </w:tcPr>
          <w:p>
            <w:pPr>
              <w:spacing w:after="0"/>
            </w:pPr>
            <w:r>
              <w:rPr>
                <w:sz w:val="19"/>
              </w:rPr>
              <w:t>The legal name of the laboratory as it will appear on the certificate of accreditation</w:t>
            </w:r>
          </w:p>
        </w:tc>
      </w:tr>
      <w:tr>
        <w:trPr>
          <w:cantSplit w:val="true"/>
        </w:trPr>
        <w:tc>
          <w:tcPr>
            <w:tcW w:type="dxa" w:w="3402"/>
            <w:shd w:val="clear" w:color="auto" w:fill="F5F7FB"/>
          </w:tcPr>
          <w:p>
            <w:pPr>
              <w:spacing w:after="0"/>
            </w:pPr>
            <w:r>
              <w:rPr>
                <w:sz w:val="19"/>
              </w:rPr>
              <w:t>[ADDRESS]</w:t>
            </w:r>
          </w:p>
        </w:tc>
        <w:tc>
          <w:tcPr>
            <w:tcW w:type="dxa" w:w="6236"/>
            <w:shd w:val="clear" w:color="auto" w:fill="F5F7FB"/>
          </w:tcPr>
          <w:p>
            <w:pPr>
              <w:spacing w:after="0"/>
            </w:pPr>
            <w:r>
              <w:rPr>
                <w:sz w:val="19"/>
              </w:rPr>
              <w:t>The permanent facility address</w:t>
            </w:r>
          </w:p>
        </w:tc>
      </w:tr>
      <w:tr>
        <w:trPr>
          <w:cantSplit w:val="true"/>
        </w:trPr>
        <w:tc>
          <w:tcPr>
            <w:tcW w:type="dxa" w:w="3402"/>
          </w:tcPr>
          <w:p>
            <w:pPr>
              <w:spacing w:after="0"/>
            </w:pPr>
            <w:r>
              <w:rPr>
                <w:sz w:val="19"/>
              </w:rPr>
              <w:t>[EFFECTIVE DATE]</w:t>
            </w:r>
          </w:p>
        </w:tc>
        <w:tc>
          <w:tcPr>
            <w:tcW w:type="dxa" w:w="6236"/>
          </w:tcPr>
          <w:p>
            <w:pPr>
              <w:spacing w:after="0"/>
            </w:pPr>
            <w:r>
              <w:rPr>
                <w:sz w:val="19"/>
              </w:rPr>
              <w:t>The date the document takes effect (after training)</w:t>
            </w:r>
          </w:p>
        </w:tc>
      </w:tr>
      <w:tr>
        <w:trPr>
          <w:cantSplit w:val="true"/>
        </w:trPr>
        <w:tc>
          <w:tcPr>
            <w:tcW w:type="dxa" w:w="3402"/>
            <w:shd w:val="clear" w:color="auto" w:fill="F5F7FB"/>
          </w:tcPr>
          <w:p>
            <w:pPr>
              <w:spacing w:after="0"/>
            </w:pPr>
            <w:r>
              <w:rPr>
                <w:sz w:val="19"/>
              </w:rPr>
              <w:t>[REVIEW DATE]</w:t>
            </w:r>
          </w:p>
        </w:tc>
        <w:tc>
          <w:tcPr>
            <w:tcW w:type="dxa" w:w="6236"/>
            <w:shd w:val="clear" w:color="auto" w:fill="F5F7FB"/>
          </w:tcPr>
          <w:p>
            <w:pPr>
              <w:spacing w:after="0"/>
            </w:pPr>
            <w:r>
              <w:rPr>
                <w:sz w:val="19"/>
              </w:rPr>
              <w:t>The next review date (default 24 months)</w:t>
            </w:r>
          </w:p>
        </w:tc>
      </w:tr>
      <w:tr>
        <w:trPr>
          <w:cantSplit w:val="true"/>
        </w:trPr>
        <w:tc>
          <w:tcPr>
            <w:tcW w:type="dxa" w:w="3402"/>
          </w:tcPr>
          <w:p>
            <w:pPr>
              <w:spacing w:after="0"/>
            </w:pPr>
            <w:r>
              <w:rPr>
                <w:sz w:val="19"/>
              </w:rPr>
              <w:t>[NAME, ROLE], [QUALITY MANAGER], [TOP MANAGEMENT / LABORATORY MANAGER], [DATE]</w:t>
            </w:r>
          </w:p>
        </w:tc>
        <w:tc>
          <w:tcPr>
            <w:tcW w:type="dxa" w:w="6236"/>
          </w:tcPr>
          <w:p>
            <w:pPr>
              <w:spacing w:after="0"/>
            </w:pPr>
            <w:r>
              <w:rPr>
                <w:sz w:val="19"/>
              </w:rPr>
              <w:t>The actual names and dates in the approval blocks</w:t>
            </w:r>
          </w:p>
        </w:tc>
      </w:tr>
      <w:tr>
        <w:trPr>
          <w:cantSplit w:val="true"/>
        </w:trPr>
        <w:tc>
          <w:tcPr>
            <w:tcW w:type="dxa" w:w="3402"/>
            <w:shd w:val="clear" w:color="auto" w:fill="F5F7FB"/>
          </w:tcPr>
          <w:p>
            <w:pPr>
              <w:spacing w:after="0"/>
            </w:pPr>
            <w:r>
              <w:rPr>
                <w:sz w:val="19"/>
              </w:rPr>
              <w:t>[PATH]</w:t>
            </w:r>
          </w:p>
        </w:tc>
        <w:tc>
          <w:tcPr>
            <w:tcW w:type="dxa" w:w="6236"/>
            <w:shd w:val="clear" w:color="auto" w:fill="F5F7FB"/>
          </w:tcPr>
          <w:p>
            <w:pPr>
              <w:spacing w:after="0"/>
            </w:pPr>
            <w:r>
              <w:rPr>
                <w:sz w:val="19"/>
              </w:rPr>
              <w:t>The location of the controlled document folder or document management system</w:t>
            </w:r>
          </w:p>
        </w:tc>
      </w:tr>
      <w:tr>
        <w:trPr>
          <w:cantSplit w:val="true"/>
        </w:trPr>
        <w:tc>
          <w:tcPr>
            <w:tcW w:type="dxa" w:w="3402"/>
          </w:tcPr>
          <w:p>
            <w:pPr>
              <w:spacing w:after="0"/>
            </w:pPr>
            <w:r>
              <w:rPr>
                <w:sz w:val="19"/>
              </w:rPr>
              <w:t>Square-bracket ranges and values, e.g. [-40 degC to +250 degC], [10 %rh to 95 %rh], [1 mg to 50 kg]</w:t>
            </w:r>
          </w:p>
        </w:tc>
        <w:tc>
          <w:tcPr>
            <w:tcW w:type="dxa" w:w="6236"/>
          </w:tcPr>
          <w:p>
            <w:pPr>
              <w:spacing w:after="0"/>
            </w:pPr>
            <w:r>
              <w:rPr>
                <w:sz w:val="19"/>
              </w:rPr>
              <w:t>The Laboratory's actual ranges and CMCs (delete disciplines not offered)</w:t>
            </w:r>
          </w:p>
        </w:tc>
      </w:tr>
      <w:tr>
        <w:trPr>
          <w:cantSplit w:val="true"/>
        </w:trPr>
        <w:tc>
          <w:tcPr>
            <w:tcW w:type="dxa" w:w="3402"/>
            <w:shd w:val="clear" w:color="auto" w:fill="F5F7FB"/>
          </w:tcPr>
          <w:p>
            <w:pPr>
              <w:spacing w:after="0"/>
            </w:pPr>
            <w:r>
              <w:rPr>
                <w:sz w:val="19"/>
              </w:rPr>
              <w:t>Square-bracket options, e.g. [calibration / testing / calibration and testing]</w:t>
            </w:r>
          </w:p>
        </w:tc>
        <w:tc>
          <w:tcPr>
            <w:tcW w:type="dxa" w:w="6236"/>
            <w:shd w:val="clear" w:color="auto" w:fill="F5F7FB"/>
          </w:tcPr>
          <w:p>
            <w:pPr>
              <w:spacing w:after="0"/>
            </w:pPr>
            <w:r>
              <w:rPr>
                <w:sz w:val="19"/>
              </w:rPr>
              <w:t>Choose one and delete the others</w:t>
            </w:r>
          </w:p>
        </w:tc>
      </w:tr>
      <w:tr>
        <w:trPr>
          <w:cantSplit w:val="true"/>
        </w:trPr>
        <w:tc>
          <w:tcPr>
            <w:tcW w:type="dxa" w:w="3402"/>
          </w:tcPr>
          <w:p>
            <w:pPr>
              <w:spacing w:after="0"/>
            </w:pPr>
            <w:r>
              <w:rPr>
                <w:sz w:val="19"/>
              </w:rPr>
              <w:t>Numbers in square brackets, e.g. [five] supervised jobs, [90 days], [two] years</w:t>
            </w:r>
          </w:p>
        </w:tc>
        <w:tc>
          <w:tcPr>
            <w:tcW w:type="dxa" w:w="6236"/>
          </w:tcPr>
          <w:p>
            <w:pPr>
              <w:spacing w:after="0"/>
            </w:pPr>
            <w:r>
              <w:rPr>
                <w:sz w:val="19"/>
              </w:rPr>
              <w:t>The Laboratory's chosen value (the defaults are reasonable practice)</w:t>
            </w:r>
          </w:p>
        </w:tc>
      </w:tr>
    </w:tbl>
    <w:p>
      <w:pPr>
        <w:spacing w:after="40"/>
      </w:pPr>
    </w:p>
    <w:p>
      <w:pPr>
        <w:pStyle w:val="Heading2"/>
      </w:pPr>
      <w:r>
        <w:t>4.2 Sections to delete or adapt</w:t>
      </w:r>
    </w:p>
    <w:p>
      <w:pPr>
        <w:pStyle w:val="ListBullet"/>
      </w:pPr>
      <w:r>
        <w:t>Delete the calibration procedures (SOP-21 to SOP-26), worksheets (FRM-36 to FRM-41) and scope rows for disciplines the Laboratory does not offer; remove them from GD-04, GD-03, FRM-16 and FRM-44.</w:t>
      </w:r>
    </w:p>
    <w:p>
      <w:pPr>
        <w:pStyle w:val="ListBullet"/>
      </w:pPr>
      <w:r>
        <w:t>If the Laboratory does not perform sampling, state 'not applicable' in QM-01 section 7.3 and retain SOP-14 uncontrolled.</w:t>
      </w:r>
    </w:p>
    <w:p>
      <w:pPr>
        <w:pStyle w:val="ListBullet"/>
      </w:pPr>
      <w:r>
        <w:t>If the Laboratory does not perform on-site work, delete SOP-32 and FRM-47 and the on-site references.</w:t>
      </w:r>
    </w:p>
    <w:p>
      <w:pPr>
        <w:pStyle w:val="ListBullet"/>
      </w:pPr>
      <w:r>
        <w:t>The 'Assessment readiness notes' at the end of each procedure are written for the Laboratory's benefit; they may be deleted from the controlled version or retained (assessors generally regard them favourably).</w:t>
      </w:r>
    </w:p>
    <w:p>
      <w:pPr>
        <w:pStyle w:val="ListBullet"/>
      </w:pPr>
      <w:r>
        <w:t>Replace the example uncertainty budgets in SOP-21 to SOP-26 with the Laboratory's approved budgets (FRM-26) for its actual reference standards; the examples illustrate structure and typical magnitudes only.</w:t>
      </w:r>
    </w:p>
    <w:p>
      <w:pPr>
        <w:pStyle w:val="ListBullet"/>
      </w:pPr>
      <w:r>
        <w:t>Replace the roles in the responsibilities tables with the Laboratory's actual titles if different; keep the separation of Technical Manager and Quality Manager functions (they may be the same person only in a very small laboratory, with the conflict documented in FRM-32 and a second person for review).</w:t>
      </w:r>
    </w:p>
    <w:p>
      <w:pPr>
        <w:pStyle w:val="ListBullet"/>
      </w:pPr>
      <w:r>
        <w:t>The VAL series is aimed at laboratories and validation teams serving GMP / GDP customers; delete it if not relevant.</w:t>
      </w:r>
    </w:p>
    <w:p>
      <w:pPr>
        <w:pStyle w:val="Heading2"/>
      </w:pPr>
      <w:r>
        <w:t>4.3 Format and document control</w:t>
      </w:r>
    </w:p>
    <w:p>
      <w:r>
        <w:t>The headers and footers contain the document ID, revision, effective-date token and page X of Y fields; update the fields after editing (Ctrl+A, F9). Long documents contain a table of contents field that must be updated in the same way. Once approved, convert the master to PDF for distribution and keep the editable file in the restricted folder (SOP-01). The footer 'Template (c) ValiTrac' line may be removed from the Laboratory's controlled versions; ValiTrac grants adopting laboratories a licence to use and modify the pack for their own management system, but not to resell or redistribute it as a template.</w:t>
      </w:r>
    </w:p>
    <w:p>
      <w:pPr>
        <w:pStyle w:val="Heading1"/>
      </w:pPr>
      <w:r>
        <w:t>5. Twelve-week implementation plan</w:t>
      </w:r>
    </w:p>
    <w:p>
      <w:r>
        <w:t>The plan below assumes a laboratory with an existing technical capability but no formal ISO/IEC 17025 system. Laboratories with an ISO 9001 system can typically compress weeks 1 to 4. Record progress in the action plan of CHK-01.</w:t>
      </w:r>
    </w:p>
    <w:tbl>
      <w:tblPr>
        <w:tblStyle w:val="TableGrid"/>
        <w:tblW w:type="auto" w:w="0"/>
        <w:jc w:val="center"/>
        <w:tblLook w:firstColumn="1" w:firstRow="1" w:lastColumn="0" w:lastRow="0" w:noHBand="0" w:noVBand="1" w:val="04A0"/>
        <w:tblLayout w:type="fixed"/>
        <w:tblCellMar>
          <w:top w:w="60" w:type="dxa"/>
          <w:left w:w="90" w:type="dxa"/>
          <w:bottom w:w="60" w:type="dxa"/>
          <w:right w:w="90" w:type="dxa"/>
        </w:tblCellMar>
      </w:tblPr>
      <w:tblGrid>
        <w:gridCol w:w="3213"/>
        <w:gridCol w:w="3213"/>
        <w:gridCol w:w="3213"/>
      </w:tblGrid>
      <w:tr>
        <w:trPr>
          <w:tblHeader w:val="true"/>
          <w:cantSplit w:val="true"/>
        </w:trPr>
        <w:tc>
          <w:tcPr>
            <w:tcW w:type="dxa" w:w="907"/>
            <w:shd w:val="clear" w:color="auto" w:fill="DCE6F5"/>
          </w:tcPr>
          <w:p>
            <w:pPr>
              <w:spacing w:after="0"/>
            </w:pPr>
            <w:r>
              <w:rPr>
                <w:b/>
                <w:color w:val="1F3A5F"/>
                <w:sz w:val="19"/>
              </w:rPr>
              <w:t>Weeks</w:t>
            </w:r>
          </w:p>
        </w:tc>
        <w:tc>
          <w:tcPr>
            <w:tcW w:type="dxa" w:w="5329"/>
            <w:shd w:val="clear" w:color="auto" w:fill="DCE6F5"/>
          </w:tcPr>
          <w:p>
            <w:pPr>
              <w:spacing w:after="0"/>
            </w:pPr>
            <w:r>
              <w:rPr>
                <w:b/>
                <w:color w:val="1F3A5F"/>
                <w:sz w:val="19"/>
              </w:rPr>
              <w:t>Activities</w:t>
            </w:r>
          </w:p>
        </w:tc>
        <w:tc>
          <w:tcPr>
            <w:tcW w:type="dxa" w:w="3402"/>
            <w:shd w:val="clear" w:color="auto" w:fill="DCE6F5"/>
          </w:tcPr>
          <w:p>
            <w:pPr>
              <w:spacing w:after="0"/>
            </w:pPr>
            <w:r>
              <w:rPr>
                <w:b/>
                <w:color w:val="1F3A5F"/>
                <w:sz w:val="19"/>
              </w:rPr>
              <w:t>Outputs</w:t>
            </w:r>
          </w:p>
        </w:tc>
      </w:tr>
      <w:tr>
        <w:trPr>
          <w:cantSplit w:val="true"/>
        </w:trPr>
        <w:tc>
          <w:tcPr>
            <w:tcW w:type="dxa" w:w="907"/>
          </w:tcPr>
          <w:p>
            <w:pPr>
              <w:spacing w:after="0"/>
            </w:pPr>
            <w:r>
              <w:rPr>
                <w:sz w:val="19"/>
              </w:rPr>
              <w:t>1-2</w:t>
            </w:r>
          </w:p>
        </w:tc>
        <w:tc>
          <w:tcPr>
            <w:tcW w:type="dxa" w:w="5329"/>
          </w:tcPr>
          <w:p>
            <w:pPr>
              <w:spacing w:after="0"/>
            </w:pPr>
            <w:r>
              <w:rPr>
                <w:sz w:val="19"/>
              </w:rPr>
              <w:t>Appoint Technical Manager and Quality Manager; top management briefing; complete CHK-01 gap analysis honestly; decide scope (GD-05 first draft); customise QM-01, GD-06, FRM-50, FRM-32, FRM-33</w:t>
            </w:r>
          </w:p>
        </w:tc>
        <w:tc>
          <w:tcPr>
            <w:tcW w:type="dxa" w:w="3402"/>
          </w:tcPr>
          <w:p>
            <w:pPr>
              <w:spacing w:after="0"/>
            </w:pPr>
            <w:r>
              <w:rPr>
                <w:sz w:val="19"/>
              </w:rPr>
              <w:t>Gap analysis with action plan; draft scope; organisation and policy approved</w:t>
            </w:r>
          </w:p>
        </w:tc>
      </w:tr>
      <w:tr>
        <w:trPr>
          <w:cantSplit w:val="true"/>
        </w:trPr>
        <w:tc>
          <w:tcPr>
            <w:tcW w:type="dxa" w:w="907"/>
            <w:shd w:val="clear" w:color="auto" w:fill="F5F7FB"/>
          </w:tcPr>
          <w:p>
            <w:pPr>
              <w:spacing w:after="0"/>
            </w:pPr>
            <w:r>
              <w:rPr>
                <w:sz w:val="19"/>
              </w:rPr>
              <w:t>3-4</w:t>
            </w:r>
          </w:p>
        </w:tc>
        <w:tc>
          <w:tcPr>
            <w:tcW w:type="dxa" w:w="5329"/>
            <w:shd w:val="clear" w:color="auto" w:fill="F5F7FB"/>
          </w:tcPr>
          <w:p>
            <w:pPr>
              <w:spacing w:after="0"/>
            </w:pPr>
            <w:r>
              <w:rPr>
                <w:sz w:val="19"/>
              </w:rPr>
              <w:t>Customise and approve management procedures SOP-01 to SOP-10, SOP-27, SOP-28; set up document control (FRM-01), records (FRM-03), risk register (FRM-10); start staff induction and declarations</w:t>
            </w:r>
          </w:p>
        </w:tc>
        <w:tc>
          <w:tcPr>
            <w:tcW w:type="dxa" w:w="3402"/>
            <w:shd w:val="clear" w:color="auto" w:fill="F5F7FB"/>
          </w:tcPr>
          <w:p>
            <w:pPr>
              <w:spacing w:after="0"/>
            </w:pPr>
            <w:r>
              <w:rPr>
                <w:sz w:val="19"/>
              </w:rPr>
              <w:t>Management system core approved and in use; register of documents</w:t>
            </w:r>
          </w:p>
        </w:tc>
      </w:tr>
      <w:tr>
        <w:trPr>
          <w:cantSplit w:val="true"/>
        </w:trPr>
        <w:tc>
          <w:tcPr>
            <w:tcW w:type="dxa" w:w="907"/>
          </w:tcPr>
          <w:p>
            <w:pPr>
              <w:spacing w:after="0"/>
            </w:pPr>
            <w:r>
              <w:rPr>
                <w:sz w:val="19"/>
              </w:rPr>
              <w:t>5-6</w:t>
            </w:r>
          </w:p>
        </w:tc>
        <w:tc>
          <w:tcPr>
            <w:tcW w:type="dxa" w:w="5329"/>
          </w:tcPr>
          <w:p>
            <w:pPr>
              <w:spacing w:after="0"/>
            </w:pPr>
            <w:r>
              <w:rPr>
                <w:sz w:val="19"/>
              </w:rPr>
              <w:t>Customise technical procedures SOP-11 to SOP-20, SOP-29 to SOP-33; build equipment register and history cards; traceability records; supplier evaluations; send reference standards for calibration where needed</w:t>
            </w:r>
          </w:p>
        </w:tc>
        <w:tc>
          <w:tcPr>
            <w:tcW w:type="dxa" w:w="3402"/>
          </w:tcPr>
          <w:p>
            <w:pPr>
              <w:spacing w:after="0"/>
            </w:pPr>
            <w:r>
              <w:rPr>
                <w:sz w:val="19"/>
              </w:rPr>
              <w:t>Equipment, traceability and supplier control operating</w:t>
            </w:r>
          </w:p>
        </w:tc>
      </w:tr>
      <w:tr>
        <w:trPr>
          <w:cantSplit w:val="true"/>
        </w:trPr>
        <w:tc>
          <w:tcPr>
            <w:tcW w:type="dxa" w:w="907"/>
            <w:shd w:val="clear" w:color="auto" w:fill="F5F7FB"/>
          </w:tcPr>
          <w:p>
            <w:pPr>
              <w:spacing w:after="0"/>
            </w:pPr>
            <w:r>
              <w:rPr>
                <w:sz w:val="19"/>
              </w:rPr>
              <w:t>7-8</w:t>
            </w:r>
          </w:p>
        </w:tc>
        <w:tc>
          <w:tcPr>
            <w:tcW w:type="dxa" w:w="5329"/>
            <w:shd w:val="clear" w:color="auto" w:fill="F5F7FB"/>
          </w:tcPr>
          <w:p>
            <w:pPr>
              <w:spacing w:after="0"/>
            </w:pPr>
            <w:r>
              <w:rPr>
                <w:sz w:val="19"/>
              </w:rPr>
              <w:t>Customise calibration procedures SOP-21 to SOP-26 and worksheets; prepare uncertainty budgets (FRM-26) and CMCs; verify methods (FRM-23); validate the calculator and spreadsheets (FRM-49); set QC and intermediate check plans; register for PT</w:t>
            </w:r>
          </w:p>
        </w:tc>
        <w:tc>
          <w:tcPr>
            <w:tcW w:type="dxa" w:w="3402"/>
            <w:shd w:val="clear" w:color="auto" w:fill="F5F7FB"/>
          </w:tcPr>
          <w:p>
            <w:pPr>
              <w:spacing w:after="0"/>
            </w:pPr>
            <w:r>
              <w:rPr>
                <w:sz w:val="19"/>
              </w:rPr>
              <w:t>Verified methods with approved budgets; scope with supported CMCs</w:t>
            </w:r>
          </w:p>
        </w:tc>
      </w:tr>
      <w:tr>
        <w:trPr>
          <w:cantSplit w:val="true"/>
        </w:trPr>
        <w:tc>
          <w:tcPr>
            <w:tcW w:type="dxa" w:w="907"/>
          </w:tcPr>
          <w:p>
            <w:pPr>
              <w:spacing w:after="0"/>
            </w:pPr>
            <w:r>
              <w:rPr>
                <w:sz w:val="19"/>
              </w:rPr>
              <w:t>9-10</w:t>
            </w:r>
          </w:p>
        </w:tc>
        <w:tc>
          <w:tcPr>
            <w:tcW w:type="dxa" w:w="5329"/>
          </w:tcPr>
          <w:p>
            <w:pPr>
              <w:spacing w:after="0"/>
            </w:pPr>
            <w:r>
              <w:rPr>
                <w:sz w:val="19"/>
              </w:rPr>
              <w:t>Train and assess engineers (FRM-14, FRM-15); authorise (FRM-16); run representative jobs end to end with contract review, worksheets, CHK-03 and certificates; start control charts</w:t>
            </w:r>
          </w:p>
        </w:tc>
        <w:tc>
          <w:tcPr>
            <w:tcW w:type="dxa" w:w="3402"/>
          </w:tcPr>
          <w:p>
            <w:pPr>
              <w:spacing w:after="0"/>
            </w:pPr>
            <w:r>
              <w:rPr>
                <w:sz w:val="19"/>
              </w:rPr>
              <w:t>Authorised personnel; job files demonstrating the system in operation</w:t>
            </w:r>
          </w:p>
        </w:tc>
      </w:tr>
      <w:tr>
        <w:trPr>
          <w:cantSplit w:val="true"/>
        </w:trPr>
        <w:tc>
          <w:tcPr>
            <w:tcW w:type="dxa" w:w="907"/>
            <w:shd w:val="clear" w:color="auto" w:fill="F5F7FB"/>
          </w:tcPr>
          <w:p>
            <w:pPr>
              <w:spacing w:after="0"/>
            </w:pPr>
            <w:r>
              <w:rPr>
                <w:sz w:val="19"/>
              </w:rPr>
              <w:t>11</w:t>
            </w:r>
          </w:p>
        </w:tc>
        <w:tc>
          <w:tcPr>
            <w:tcW w:type="dxa" w:w="5329"/>
            <w:shd w:val="clear" w:color="auto" w:fill="F5F7FB"/>
          </w:tcPr>
          <w:p>
            <w:pPr>
              <w:spacing w:after="0"/>
            </w:pPr>
            <w:r>
              <w:rPr>
                <w:sz w:val="19"/>
              </w:rPr>
              <w:t>Full internal audit of every clause and discipline (FRM-04 to FRM-06), including vertical and witness audits; raise and action corrective actions</w:t>
            </w:r>
          </w:p>
        </w:tc>
        <w:tc>
          <w:tcPr>
            <w:tcW w:type="dxa" w:w="3402"/>
            <w:shd w:val="clear" w:color="auto" w:fill="F5F7FB"/>
          </w:tcPr>
          <w:p>
            <w:pPr>
              <w:spacing w:after="0"/>
            </w:pPr>
            <w:r>
              <w:rPr>
                <w:sz w:val="19"/>
              </w:rPr>
              <w:t>Audit records with findings closed or in progress</w:t>
            </w:r>
          </w:p>
        </w:tc>
      </w:tr>
      <w:tr>
        <w:trPr>
          <w:cantSplit w:val="true"/>
        </w:trPr>
        <w:tc>
          <w:tcPr>
            <w:tcW w:type="dxa" w:w="907"/>
          </w:tcPr>
          <w:p>
            <w:pPr>
              <w:spacing w:after="0"/>
            </w:pPr>
            <w:r>
              <w:rPr>
                <w:sz w:val="19"/>
              </w:rPr>
              <w:t>12</w:t>
            </w:r>
          </w:p>
        </w:tc>
        <w:tc>
          <w:tcPr>
            <w:tcW w:type="dxa" w:w="5329"/>
          </w:tcPr>
          <w:p>
            <w:pPr>
              <w:spacing w:after="0"/>
            </w:pPr>
            <w:r>
              <w:rPr>
                <w:sz w:val="19"/>
              </w:rPr>
              <w:t>Management review (FRM-07); finalise CHK-02; submit application to the accreditation body with the scope; continue generating records until the assessment</w:t>
            </w:r>
          </w:p>
        </w:tc>
        <w:tc>
          <w:tcPr>
            <w:tcW w:type="dxa" w:w="3402"/>
          </w:tcPr>
          <w:p>
            <w:pPr>
              <w:spacing w:after="0"/>
            </w:pPr>
            <w:r>
              <w:rPr>
                <w:sz w:val="19"/>
              </w:rPr>
              <w:t>Management review minutes; application submitted</w:t>
            </w:r>
          </w:p>
        </w:tc>
      </w:tr>
    </w:tbl>
    <w:p>
      <w:pPr>
        <w:spacing w:after="40"/>
      </w:pPr>
    </w:p>
    <w:p>
      <w:pPr>
        <w:pStyle w:val="Heading1"/>
      </w:pPr>
      <w:r>
        <w:t>6. Using the pack with ValiTrac</w:t>
      </w:r>
    </w:p>
    <w:p>
      <w:r>
        <w:t>The procedures reference the ValiTrac Uncertainty Calculator workbook as the validated calculation tool and CHK-04 / CHK-05 mirror the review gates in the ValiTrac mapping workflow. Laboratories using the ValiTrac platform can replace the paper worksheets with the platform's technical records while retaining the same procedure structure; the document identifiers in this pack are stable so that the platform's outputs can cite them.</w:t>
      </w:r>
    </w:p>
    <w:p>
      <w:pPr>
        <w:pStyle w:val="Heading1"/>
      </w:pPr>
      <w:r>
        <w:t>7. Support and feedback</w:t>
      </w:r>
    </w:p>
    <w:p>
      <w:r>
        <w:t>Questions about the pack, corrections and suggestions are welcome through valitrac.com/contact. The pack is revised periodically; the version and date appear in every footer. Check valitrac.com/resources/iso-17025-pack for the current version.</w:t>
      </w:r>
    </w:p>
    <w:sectPr w:rsidR="00FC693F" w:rsidRPr="0006063C" w:rsidSect="00034616">
      <w:headerReference w:type="default" r:id="rId9"/>
      <w:footerReference w:type="default" r:id="rId10"/>
      <w:pgSz w:w="11906" w:h="16838"/>
      <w:pgMar w:top="1247" w:right="1134" w:bottom="1134" w:left="1134" w:header="510"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left"/>
    </w:pPr>
    <w:r>
      <w:rPr>
        <w:color w:val="59595F"/>
        <w:sz w:val="15"/>
      </w:rPr>
      <w:t xml:space="preserve">GD-01 Read Me First - How to Use and Customise This Pack  |  Rev 1.0  |  Effective: [EFFECTIVE DATE]  |  Page </w:t>
    </w:r>
    <w:r>
      <w:rPr>
        <w:color w:val="59595F"/>
        <w:sz w:val="15"/>
      </w:rPr>
      <w:fldChar w:fldCharType="begin"/>
      <w:instrText xml:space="preserve">PAGE</w:instrText>
      <w:fldChar w:fldCharType="separate"/>
      <w:t>1</w:t>
      <w:fldChar w:fldCharType="end"/>
    </w:r>
    <w:r>
      <w:rPr>
        <w:color w:val="59595F"/>
        <w:sz w:val="15"/>
      </w:rPr>
      <w:t xml:space="preserve"> of </w:t>
    </w:r>
    <w:r>
      <w:rPr>
        <w:color w:val="59595F"/>
        <w:sz w:val="15"/>
      </w:rPr>
      <w:fldChar w:fldCharType="begin"/>
      <w:instrText xml:space="preserve">NUMPAGES</w:instrText>
      <w:fldChar w:fldCharType="separate"/>
      <w:t>1</w:t>
      <w:fldChar w:fldCharType="end"/>
    </w:r>
  </w:p>
  <w:p>
    <w:pPr>
      <w:spacing w:after="0"/>
    </w:pPr>
    <w:r>
      <w:rPr>
        <w:color w:val="8A8A93"/>
        <w:sz w:val="14"/>
      </w:rPr>
      <w:t>UNCONTROLLED WHEN PRINTED - the electronic master in the laboratory document system is the authoritative copy.</w:t>
    </w:r>
  </w:p>
  <w:p>
    <w:pPr>
      <w:spacing w:after="0"/>
    </w:pPr>
    <w:r>
      <w:rPr>
        <w:color w:val="8A8A93"/>
        <w:sz w:val="14"/>
      </w:rPr>
      <w:t>Template (c) ValiTrac 2026 - valitrac.com - ValiTrac ISO/IEC 17025 Documentation Pack v2.0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ook w:firstColumn="1" w:firstRow="1" w:lastColumn="0" w:lastRow="0" w:noHBand="0" w:noVBand="1" w:val="04A0"/>
    </w:tblPr>
    <w:tblGrid>
      <w:gridCol w:w="3213"/>
      <w:gridCol w:w="3213"/>
      <w:gridCol w:w="3213"/>
    </w:tblGrid>
    <w:tr>
      <w:tc>
        <w:tcPr>
          <w:tcW w:type="dxa" w:w="3213"/>
        </w:tcPr>
        <w:p>
          <w:pPr>
            <w:spacing w:after="0"/>
          </w:pPr>
          <w:r>
            <w:rPr>
              <w:color w:val="8A8A93"/>
              <w:sz w:val="16"/>
            </w:rPr>
            <w:t>ValiTrac ISO/IEC 17025 Documentation Pack</w:t>
          </w:r>
        </w:p>
      </w:tc>
      <w:tc>
        <w:tcPr>
          <w:tcW w:type="dxa" w:w="3213"/>
        </w:tcPr>
        <w:p>
          <w:pPr>
            <w:spacing w:after="0"/>
            <w:jc w:val="center"/>
          </w:pPr>
          <w:r>
            <w:rPr>
              <w:b/>
              <w:color w:val="59595F"/>
              <w:sz w:val="16"/>
            </w:rPr>
            <w:t>[LABORATORY NAME]</w:t>
          </w:r>
        </w:p>
      </w:tc>
      <w:tc>
        <w:tcPr>
          <w:tcW w:type="dxa" w:w="3213"/>
        </w:tcPr>
        <w:p>
          <w:pPr>
            <w:spacing w:after="0"/>
            <w:jc w:val="right"/>
          </w:pPr>
          <w:r>
            <w:rPr>
              <w:b/>
              <w:color w:val="59595F"/>
              <w:sz w:val="16"/>
            </w:rPr>
            <w:t>GD-01  |  Rev 1.0</w:t>
          </w:r>
        </w:p>
      </w:tc>
    </w:tr>
  </w:tbl>
  <w:p>
    <w:pPr>
      <w:pBdr>
        <w:bottom w:val="single" w:sz="4" w:space="1" w:color="BFC7D5"/>
      </w:pBdr>
      <w:spacing w:after="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Calibri" w:hAnsi="Calibri" w:eastAsia="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Calibri" w:hAnsi="Calibri" w:eastAsia="Calibri"/>
      <w:b/>
      <w:bCs/>
      <w:color w:val="1F3A5F"/>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ascii="Calibri" w:hAnsi="Calibri" w:eastAsia="Calibri"/>
      <w:b/>
      <w:bCs/>
      <w:color w:val="1F3A5F"/>
      <w:sz w:val="25"/>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Theme="majorHAnsi" w:eastAsiaTheme="majorEastAsia" w:hAnsiTheme="majorHAnsi" w:cstheme="majorBidi" w:ascii="Calibri" w:hAnsi="Calibri" w:eastAsia="Calibri"/>
      <w:b/>
      <w:bCs/>
      <w:color w:val="2F6FE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Calibri" w:hAnsi="Calibri" w:eastAsia="Calibri"/>
      <w:b/>
      <w:color w:val="1F3A5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Calibri" w:hAnsi="Calibri"/>
      <w:sz w:val="21"/>
    </w:rPr>
  </w:style>
  <w:style w:type="paragraph" w:styleId="ListBullet2">
    <w:name w:val="List Bullet 2"/>
    <w:basedOn w:val="Normal"/>
    <w:uiPriority w:val="99"/>
    <w:unhideWhenUsed/>
    <w:rsid w:val="00326F90"/>
    <w:pPr>
      <w:numPr>
        <w:numId w:val="2"/>
      </w:numPr>
      <w:spacing w:after="60"/>
      <w:contextualSpacing/>
    </w:pPr>
    <w:rPr>
      <w:rFonts w:ascii="Calibri" w:hAnsi="Calibri"/>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